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F14B05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سلامت جامعه و سالمندي</w:t>
      </w:r>
    </w:p>
    <w:p w14:paraId="14B91A52" w14:textId="716D7D38" w:rsidR="00E270DE" w:rsidRPr="00EB6DB3" w:rsidRDefault="00E270DE" w:rsidP="009F04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5F23" w:rsidRPr="00DA5F2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پرستاري 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سلامت جامعه (خانواده)</w:t>
      </w:r>
    </w:p>
    <w:p w14:paraId="1C338A3E" w14:textId="794232B0" w:rsidR="00B4711B" w:rsidRPr="0038172F" w:rsidRDefault="00F51BF7" w:rsidP="009F04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6990010</w:t>
      </w:r>
    </w:p>
    <w:p w14:paraId="004B26D2" w14:textId="04567B62" w:rsidR="00F51BF7" w:rsidRPr="00B37985" w:rsidRDefault="00E270DE" w:rsidP="004B42A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B42AA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E1D05E7" w14:textId="792E344D" w:rsidR="00F51BF7" w:rsidRPr="0038172F" w:rsidRDefault="00F51BF7" w:rsidP="004B42A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6F3D87">
        <w:rPr>
          <w:rFonts w:asciiTheme="majorBidi" w:hAnsiTheme="majorBidi" w:cs="B Nazanin" w:hint="cs"/>
          <w:sz w:val="24"/>
          <w:szCs w:val="24"/>
          <w:rtl/>
          <w:lang w:bidi="fa-IR"/>
        </w:rPr>
        <w:t>سرکار خانم دکتر سریه پورتقی</w:t>
      </w:r>
    </w:p>
    <w:p w14:paraId="1A7850EE" w14:textId="7A1444F8" w:rsidR="00F51BF7" w:rsidRPr="0038172F" w:rsidRDefault="00E270DE" w:rsidP="004B42A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E714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F3D87">
        <w:rPr>
          <w:rFonts w:asciiTheme="majorBidi" w:hAnsiTheme="majorBidi" w:cs="B Nazanin" w:hint="cs"/>
          <w:sz w:val="24"/>
          <w:szCs w:val="24"/>
          <w:rtl/>
          <w:lang w:bidi="fa-IR"/>
        </w:rPr>
        <w:t>خانم دکتر سریه پورتقی- خانم دکتر شهزاد پاشایی پور</w:t>
      </w:r>
    </w:p>
    <w:p w14:paraId="14C56C71" w14:textId="164214DE" w:rsidR="00F51BF7" w:rsidRPr="0038172F" w:rsidRDefault="00B4711B" w:rsidP="009F04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نظر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ه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ها، الگوها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پرستار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 سلامت جامعه، برنامه ر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ز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و ارزش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اب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مراقبت ها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پرستار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برا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سلامت جامعه، روش ها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آموزش به فرد، خانواده و جامعه، ارتقا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سلامت و سبک زندگ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9F04EB" w:rsidRPr="009F04E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سالم، فرهنگ و پرستار</w:t>
      </w:r>
      <w:r w:rsidR="009F04EB" w:rsidRP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</w:p>
    <w:p w14:paraId="74DDE471" w14:textId="7EB86DF2" w:rsidR="00F51BF7" w:rsidRPr="0038172F" w:rsidRDefault="00F51BF7" w:rsidP="009F04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کارشناسی ارشد پرستاری سلامت جامعه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B46E9E4" w:rsidR="00FA17A2" w:rsidRDefault="00FA17A2" w:rsidP="0000484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004845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2C418B83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6991FC8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</w:t>
      </w:r>
    </w:p>
    <w:p w14:paraId="432C8EAE" w14:textId="06F544CA" w:rsidR="00FA17A2" w:rsidRPr="0038172F" w:rsidRDefault="00FA17A2" w:rsidP="0020560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05608">
        <w:rPr>
          <w:rFonts w:asciiTheme="majorBidi" w:hAnsiTheme="majorBidi" w:cs="B Nazanin" w:hint="cs"/>
          <w:sz w:val="24"/>
          <w:szCs w:val="24"/>
          <w:rtl/>
          <w:lang w:bidi="fa-IR"/>
        </w:rPr>
        <w:t>61054148</w:t>
      </w:r>
    </w:p>
    <w:p w14:paraId="1F6A8C6B" w14:textId="0F13019B" w:rsidR="00FA17A2" w:rsidRDefault="003C3250" w:rsidP="004B42A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05608">
        <w:rPr>
          <w:rFonts w:asciiTheme="majorBidi" w:hAnsiTheme="majorBidi" w:cs="B Nazanin"/>
          <w:sz w:val="24"/>
          <w:szCs w:val="24"/>
          <w:lang w:bidi="fa-IR"/>
        </w:rPr>
        <w:t>s-poortaghi@sina.tums.ac.ir</w:t>
      </w:r>
    </w:p>
    <w:p w14:paraId="659E1C33" w14:textId="754CB0E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44758F2B" w14:textId="77777777" w:rsidR="009F04EB" w:rsidRPr="003777ED" w:rsidRDefault="009F04EB" w:rsidP="009F04EB">
      <w:p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خانواده نقش و اهمیت بسزایی در سلامت جامعه دارد. جامعه بدون داشتن خانواده های سالم نمی تواند ادعای سلامتی کند. خانواده نخستین اجتماعی است که فرد در آن گام می نهد و آداب زندگی، اصول و رسوم اجتماعی و تعاون و ازخودگذشتگی را در آن یاد می گیرد. تئوری، عمل و پژوهش پرستاری شواهدی را فراهم کرده است که نشان می دهد که خانواده اثر بسیار مهمی بر روی سلامت و رفاه اعضای خود دارد. این شواهد باید پرستاران را ملزم به توجه به مراقبت خانواده محور کند.  </w:t>
      </w:r>
      <w:r w:rsidRPr="003777ED">
        <w:rPr>
          <w:rFonts w:cs="B Zar"/>
          <w:b/>
          <w:bCs/>
          <w:sz w:val="26"/>
          <w:szCs w:val="26"/>
          <w:lang w:bidi="fa-IR"/>
        </w:rPr>
        <w:t xml:space="preserve"> </w:t>
      </w: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9B8AB54" w14:textId="77777777" w:rsidR="009F04EB" w:rsidRPr="003777ED" w:rsidRDefault="009F04EB" w:rsidP="009F04EB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در پایان درس انتظار می رود دانشجویان بتوانند با توجه به اهمیت سلامت خانواده، با اهمیت نقش پرستاران سلامت جامعه در ایجاد، اصلاح و ارتقاء رفتارهای بهداشتی خانواده آشنا شوند. همچنین مهارت های بررسی، تحلیل مسائل و مشکلات بهداشتی خانواده ها را به منظور بهره گیری از آن در فعالیت های آینده خود کسب نمایند.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F9707BD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خانواده را تعریف کرده و انواع خانواده را از هم افتراق دهد.</w:t>
      </w:r>
    </w:p>
    <w:p w14:paraId="0010AA2B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مراحل تکاملی خانواده در دوره های مختلف را مورد تجزیه و تحلیل قرار دهد.</w:t>
      </w:r>
    </w:p>
    <w:p w14:paraId="1A5CD232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بحران ها و وظایف خانواده را در هریک از مراحل تکاملی مورد بحث قرار دهد.</w:t>
      </w:r>
    </w:p>
    <w:p w14:paraId="75F87FD6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ساختار نقش، قدرت، ارزش و الگوهای ارتباطی در خانواده را شناخته و تجزیه و تحلیل نماید.</w:t>
      </w:r>
    </w:p>
    <w:p w14:paraId="594D1AAA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عملکرد خانواده ها را در راستای کارکردهای اصلی خود را مورد بحث قرار دهند.</w:t>
      </w:r>
    </w:p>
    <w:p w14:paraId="7E04BF00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مشخصات خانواده های ایرانی را توضیح دهند.</w:t>
      </w:r>
    </w:p>
    <w:p w14:paraId="17205BA3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دیدگاه اسلام را نسبت به خانواده مورد بررسی قرار دهند.</w:t>
      </w:r>
    </w:p>
    <w:p w14:paraId="4F6840C6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مسائل و مشکلات خانواده را در دوران معاصر مورد چالش قرار دهند.</w:t>
      </w:r>
    </w:p>
    <w:p w14:paraId="6D89CD7C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چارچوب های نظری پرستاری خانواده را شناخته و از هم افتراق دهند.</w:t>
      </w:r>
    </w:p>
    <w:p w14:paraId="5A9CFAEB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نقش و وظایف پرستار سلامت جامعه در خانواده را توضیح دهند.</w:t>
      </w:r>
    </w:p>
    <w:p w14:paraId="5352E05D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فرایند پرستاری در خانواده و اصول دیدار بهداشتی در منزل را بکار بندند.</w:t>
      </w:r>
    </w:p>
    <w:p w14:paraId="2D762534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بحران در خانواده و روش های تطابق با آن را تجزیه و تحلیل کنند.</w:t>
      </w:r>
    </w:p>
    <w:p w14:paraId="287E186E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عوامل تهدید کننده سلامت اعضای خانواده مانند مرگ، طلاق، فقر، مهاجرت، بیماری های مزمن، بلایا و حوادث غیرمترقبه را شناسایی کرده و در مورد آن بحث کنند.</w:t>
      </w:r>
    </w:p>
    <w:p w14:paraId="087BF3F4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سلامت کودکان و نوجوانان و عوامل موثر بر آن را با تاکید بر نقش پرستار بهداشت جامعه توضیح دهند.</w:t>
      </w:r>
    </w:p>
    <w:p w14:paraId="164A8FC4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سلامت زنان و عوامل موثر بر آن را با تاکید بر نقش پرستار سلامت جامعه توضیح دهند.</w:t>
      </w:r>
    </w:p>
    <w:p w14:paraId="457A078D" w14:textId="67188713" w:rsidR="009F04EB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سلامت مردان و عوامل موثر بر آن را با تاکید بر نقش پرستار سلامت جامعه توضیح دهند.</w:t>
      </w:r>
    </w:p>
    <w:p w14:paraId="3302DABD" w14:textId="5204827E" w:rsidR="00F94745" w:rsidRPr="003777ED" w:rsidRDefault="00F94745" w:rsidP="00205608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94745">
        <w:rPr>
          <w:rFonts w:cs="B Zar"/>
          <w:b/>
          <w:bCs/>
          <w:sz w:val="26"/>
          <w:szCs w:val="26"/>
          <w:rtl/>
          <w:lang w:bidi="fa-IR"/>
        </w:rPr>
        <w:t>سلامت دوران باردار</w:t>
      </w:r>
      <w:r w:rsidRPr="00F94745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F94745">
        <w:rPr>
          <w:rFonts w:cs="B Zar" w:hint="eastAsia"/>
          <w:b/>
          <w:bCs/>
          <w:sz w:val="26"/>
          <w:szCs w:val="26"/>
          <w:rtl/>
          <w:lang w:bidi="fa-IR"/>
        </w:rPr>
        <w:t>،</w:t>
      </w:r>
      <w:r w:rsidRPr="00F94745">
        <w:rPr>
          <w:rFonts w:cs="B Zar"/>
          <w:b/>
          <w:bCs/>
          <w:sz w:val="26"/>
          <w:szCs w:val="26"/>
          <w:rtl/>
          <w:lang w:bidi="fa-IR"/>
        </w:rPr>
        <w:t xml:space="preserve"> زا</w:t>
      </w:r>
      <w:r w:rsidRPr="00F94745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F94745">
        <w:rPr>
          <w:rFonts w:cs="B Zar" w:hint="eastAsia"/>
          <w:b/>
          <w:bCs/>
          <w:sz w:val="26"/>
          <w:szCs w:val="26"/>
          <w:rtl/>
          <w:lang w:bidi="fa-IR"/>
        </w:rPr>
        <w:t>مان</w:t>
      </w:r>
      <w:r w:rsidRPr="00F94745">
        <w:rPr>
          <w:rFonts w:cs="B Zar"/>
          <w:b/>
          <w:bCs/>
          <w:sz w:val="26"/>
          <w:szCs w:val="26"/>
          <w:rtl/>
          <w:lang w:bidi="fa-IR"/>
        </w:rPr>
        <w:t xml:space="preserve"> و پس از آن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را با تاکید بر </w:t>
      </w:r>
      <w:r w:rsidRPr="003777ED">
        <w:rPr>
          <w:rFonts w:cs="B Zar" w:hint="cs"/>
          <w:b/>
          <w:bCs/>
          <w:sz w:val="26"/>
          <w:szCs w:val="26"/>
          <w:rtl/>
          <w:lang w:bidi="fa-IR"/>
        </w:rPr>
        <w:t>نقش پرستار سلامت جامعه توضیح دهند.</w:t>
      </w:r>
    </w:p>
    <w:p w14:paraId="758092A6" w14:textId="77777777" w:rsidR="009F04EB" w:rsidRPr="003777ED" w:rsidRDefault="009F04EB" w:rsidP="009F04EB">
      <w:pPr>
        <w:numPr>
          <w:ilvl w:val="0"/>
          <w:numId w:val="13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سلامت سالمندان و عوامل موثر بر آن را با تاکید بر نقش پرستار سلامت جامعه توضیح دهند.  </w:t>
      </w:r>
    </w:p>
    <w:p w14:paraId="2F206C41" w14:textId="77777777" w:rsidR="00924FDC" w:rsidRPr="00EB6DB3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69E5645" w:rsidR="009E629C" w:rsidRDefault="009E629C" w:rsidP="007302F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205608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33F91E0F" w:rsidR="009E629C" w:rsidRDefault="0020560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" w:char="F0FE"/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77030056" w:rsidR="00B80410" w:rsidRPr="00B80410" w:rsidRDefault="0020560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4930C9BE" w:rsidR="00B80410" w:rsidRPr="00B80410" w:rsidRDefault="00205608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FB86A71" w:rsidR="00DB4835" w:rsidRPr="00DB4835" w:rsidRDefault="00205608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10D86AE3" w:rsidR="00DB4835" w:rsidRPr="00DB4835" w:rsidRDefault="00205608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1872"/>
        <w:gridCol w:w="2375"/>
        <w:gridCol w:w="847"/>
      </w:tblGrid>
      <w:tr w:rsidR="00684E56" w14:paraId="687BBD93" w14:textId="77777777" w:rsidTr="0075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72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E0C50" w14:paraId="0F0C5D07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3E3BEAB6" w:rsidR="006E0C50" w:rsidRPr="00754B96" w:rsidRDefault="006E0C50" w:rsidP="006E0C50">
            <w:pPr>
              <w:bidi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B9E18F5" w14:textId="18ED6337" w:rsidR="006E0C50" w:rsidRPr="00EB6DB3" w:rsidRDefault="006E0C50" w:rsidP="006E0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2B305B0D" w14:textId="7C063ECF" w:rsidR="006E0C50" w:rsidRPr="00754B96" w:rsidRDefault="008F0A2F" w:rsidP="006E0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  <w:r w:rsidR="006E0C50" w:rsidRPr="00754B96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</w:p>
        </w:tc>
        <w:tc>
          <w:tcPr>
            <w:tcW w:w="2375" w:type="dxa"/>
          </w:tcPr>
          <w:p w14:paraId="4405C761" w14:textId="77777777" w:rsidR="006E0C50" w:rsidRPr="006E0C50" w:rsidRDefault="006E0C50" w:rsidP="006E0C5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خانواده و انواع آن</w:t>
            </w:r>
          </w:p>
          <w:p w14:paraId="7921D8DC" w14:textId="2CBEBF63" w:rsidR="006E0C50" w:rsidRPr="006E0C50" w:rsidRDefault="006E0C50" w:rsidP="006E0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دیدگاه اسلام نسبت به خانواده</w:t>
            </w:r>
          </w:p>
        </w:tc>
        <w:tc>
          <w:tcPr>
            <w:tcW w:w="847" w:type="dxa"/>
          </w:tcPr>
          <w:p w14:paraId="228979A4" w14:textId="77777777" w:rsidR="006E0C50" w:rsidRPr="00EB6DB3" w:rsidRDefault="006E0C50" w:rsidP="006E0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F0A2F" w14:paraId="27DD1B05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226F9937" w:rsidR="008F0A2F" w:rsidRPr="00EB6DB3" w:rsidRDefault="008F0A2F" w:rsidP="008F0A2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3093118" w14:textId="2E5599CA" w:rsidR="008F0A2F" w:rsidRPr="00EB6DB3" w:rsidRDefault="008F0A2F" w:rsidP="008F0A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2AD227D" w14:textId="191EB73E" w:rsidR="008F0A2F" w:rsidRPr="00EB6DB3" w:rsidRDefault="008F0A2F" w:rsidP="008F0A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A243B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04858B53" w14:textId="77777777" w:rsidR="008F0A2F" w:rsidRPr="006E0C50" w:rsidRDefault="008F0A2F" w:rsidP="008F0A2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مراحل تکاملی خانواده در دوره های مختلف</w:t>
            </w:r>
          </w:p>
          <w:p w14:paraId="1710D4CE" w14:textId="123EA0D5" w:rsidR="008F0A2F" w:rsidRPr="006E0C50" w:rsidRDefault="008F0A2F" w:rsidP="008F0A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بحران ها و وظایف خانواده در هریک از مراحل تکاملی</w:t>
            </w:r>
          </w:p>
        </w:tc>
        <w:tc>
          <w:tcPr>
            <w:tcW w:w="847" w:type="dxa"/>
          </w:tcPr>
          <w:p w14:paraId="7BC0A093" w14:textId="77777777" w:rsidR="008F0A2F" w:rsidRPr="00EB6DB3" w:rsidRDefault="008F0A2F" w:rsidP="008F0A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F0A2F" w14:paraId="37988758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24F9A6D0" w:rsidR="008F0A2F" w:rsidRPr="00EB6DB3" w:rsidRDefault="008F0A2F" w:rsidP="008F0A2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1162E175" w14:textId="18813788" w:rsidR="008F0A2F" w:rsidRPr="00EB6DB3" w:rsidRDefault="008F0A2F" w:rsidP="008F0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96FFB74" w14:textId="294F34A0" w:rsidR="008F0A2F" w:rsidRPr="00EB6DB3" w:rsidRDefault="008F0A2F" w:rsidP="008F0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A243B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0B982CE9" w14:textId="77777777" w:rsidR="008F0A2F" w:rsidRDefault="008F0A2F" w:rsidP="008F0A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C165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ساختار نقش، قدرت، ارزش و الگوهای ارتباطی در خانواده</w:t>
            </w:r>
          </w:p>
          <w:p w14:paraId="6D1796D3" w14:textId="1065656C" w:rsidR="00400FD6" w:rsidRPr="00C16576" w:rsidRDefault="00400FD6" w:rsidP="00400FD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عملکردهای خانواده </w:t>
            </w:r>
          </w:p>
          <w:p w14:paraId="780E6296" w14:textId="3F240E32" w:rsidR="008F0A2F" w:rsidRPr="00C16576" w:rsidRDefault="008F0A2F" w:rsidP="008F0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5AE8FF57" w14:textId="77777777" w:rsidR="008F0A2F" w:rsidRPr="00EB6DB3" w:rsidRDefault="008F0A2F" w:rsidP="008F0A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8F0A2F" w14:paraId="136EFF23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20DCC92F" w:rsidR="008F0A2F" w:rsidRPr="00EB6DB3" w:rsidRDefault="008F0A2F" w:rsidP="008F0A2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D4A4424" w14:textId="511EE185" w:rsidR="008F0A2F" w:rsidRPr="00EB6DB3" w:rsidRDefault="008F0A2F" w:rsidP="008F0A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5250220" w14:textId="29871ECD" w:rsidR="008F0A2F" w:rsidRPr="00EB6DB3" w:rsidRDefault="008F0A2F" w:rsidP="008F0A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A243B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4B4AB13F" w14:textId="77777777" w:rsidR="00C16576" w:rsidRPr="00B751EF" w:rsidRDefault="00C16576" w:rsidP="00C1657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751EF">
              <w:rPr>
                <w:rFonts w:cs="B Mitra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مشخصات خانواده های ایرانی</w:t>
            </w:r>
          </w:p>
          <w:p w14:paraId="07CF78F2" w14:textId="2B39DAFF" w:rsidR="008F0A2F" w:rsidRPr="00C16576" w:rsidRDefault="00400FD6" w:rsidP="00623B6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751EF">
              <w:rPr>
                <w:rFonts w:cs="B Mitra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مسائل و مشکلات خانواده در دوران معاصر</w:t>
            </w:r>
          </w:p>
        </w:tc>
        <w:tc>
          <w:tcPr>
            <w:tcW w:w="847" w:type="dxa"/>
          </w:tcPr>
          <w:p w14:paraId="3D5F7DEF" w14:textId="5763845D" w:rsidR="008F0A2F" w:rsidRPr="00EB6DB3" w:rsidRDefault="00400FD6" w:rsidP="008F0A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C16576" w14:paraId="78FF9686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3D807A42" w:rsidR="00C16576" w:rsidRPr="00EB6DB3" w:rsidRDefault="00C16576" w:rsidP="00C1657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62985D4" w14:textId="04DF0255" w:rsidR="00C16576" w:rsidRPr="00EB6DB3" w:rsidRDefault="00C16576" w:rsidP="00C165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01FFCB25" w14:textId="04E0E12D" w:rsidR="00C16576" w:rsidRPr="00EB6DB3" w:rsidRDefault="00C16576" w:rsidP="00C165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5C457A74" w14:textId="77777777" w:rsidR="00C16576" w:rsidRPr="006E0C50" w:rsidRDefault="00C16576" w:rsidP="00C1657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چارچوب های نظری پرستاری خانواده </w:t>
            </w:r>
          </w:p>
          <w:p w14:paraId="4D20F59A" w14:textId="209ADD61" w:rsidR="00C16576" w:rsidRPr="006E0C50" w:rsidRDefault="00C16576" w:rsidP="00C165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47AE068" w14:textId="7E975CF1" w:rsidR="00C16576" w:rsidRPr="00EB6DB3" w:rsidRDefault="00400FD6" w:rsidP="00C165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C16576" w14:paraId="0B11B5FB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7A692DDF" w:rsidR="00C16576" w:rsidRPr="00EB6DB3" w:rsidRDefault="00C16576" w:rsidP="00C1657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5046C733" w14:textId="3011D0A7" w:rsidR="00C16576" w:rsidRPr="00EB6DB3" w:rsidRDefault="00C16576" w:rsidP="00C165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4654C7B8" w14:textId="08AE56AC" w:rsidR="00C16576" w:rsidRPr="00EB6DB3" w:rsidRDefault="00C16576" w:rsidP="00C165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D7EAFAA" w14:textId="40D37410" w:rsidR="00C16576" w:rsidRPr="006E0C50" w:rsidRDefault="00C16576" w:rsidP="00C165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16"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نقش و وظایف پرستار سلامت جامعه در خانواده</w:t>
            </w:r>
          </w:p>
        </w:tc>
        <w:tc>
          <w:tcPr>
            <w:tcW w:w="847" w:type="dxa"/>
          </w:tcPr>
          <w:p w14:paraId="4025F416" w14:textId="0CAB331B" w:rsidR="00C16576" w:rsidRPr="00EB6DB3" w:rsidRDefault="00400FD6" w:rsidP="00C165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C16576" w14:paraId="5F32DFCD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7D096CA" w14:textId="373939C3" w:rsidR="00C16576" w:rsidRPr="00754B96" w:rsidRDefault="00C16576" w:rsidP="00C1657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8356BFE" w14:textId="2969BE2A" w:rsidR="00C16576" w:rsidRPr="00754B96" w:rsidRDefault="00C16576" w:rsidP="00C165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647CDA58" w14:textId="77777777" w:rsidR="00C16576" w:rsidRPr="008A4C41" w:rsidRDefault="00C16576" w:rsidP="00C165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375" w:type="dxa"/>
          </w:tcPr>
          <w:p w14:paraId="24D15177" w14:textId="1EEBF884" w:rsidR="00C16576" w:rsidRPr="00BE22E1" w:rsidRDefault="00C16576" w:rsidP="00C165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فرایند پرستاری در خانواده</w:t>
            </w:r>
          </w:p>
        </w:tc>
        <w:tc>
          <w:tcPr>
            <w:tcW w:w="847" w:type="dxa"/>
          </w:tcPr>
          <w:p w14:paraId="0D2F0080" w14:textId="4F545ECE" w:rsidR="00C16576" w:rsidRPr="00EB6DB3" w:rsidRDefault="00400FD6" w:rsidP="00C165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C16576" w14:paraId="1482447D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CEE752D" w14:textId="58B1204E" w:rsidR="00C16576" w:rsidRPr="00754B96" w:rsidRDefault="00C16576" w:rsidP="00C1657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3124624" w14:textId="1E314261" w:rsidR="00C16576" w:rsidRPr="00754B96" w:rsidRDefault="00C16576" w:rsidP="00C165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4F19CA97" w14:textId="77777777" w:rsidR="00C16576" w:rsidRPr="008A4C41" w:rsidRDefault="00C16576" w:rsidP="00C165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375" w:type="dxa"/>
          </w:tcPr>
          <w:p w14:paraId="2B7DD1D5" w14:textId="201CB0B5" w:rsidR="00C16576" w:rsidRPr="00BE22E1" w:rsidRDefault="00C16576" w:rsidP="00C165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6E0C5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اصول دیدار بهداشتی در منزل</w:t>
            </w:r>
          </w:p>
        </w:tc>
        <w:tc>
          <w:tcPr>
            <w:tcW w:w="847" w:type="dxa"/>
          </w:tcPr>
          <w:p w14:paraId="14E79D17" w14:textId="2CB73C1D" w:rsidR="00C16576" w:rsidRPr="00EB6DB3" w:rsidRDefault="00400FD6" w:rsidP="00C165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623B65" w14:paraId="7E587107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5AC97C2" w14:textId="0C24BD5B" w:rsidR="00623B65" w:rsidRPr="00754B96" w:rsidRDefault="00623B65" w:rsidP="00623B65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7946D686" w14:textId="7880F112" w:rsidR="00623B65" w:rsidRPr="00754B96" w:rsidRDefault="00623B65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2DA0C5FF" w14:textId="05AD3568" w:rsidR="00623B65" w:rsidRPr="008A4C41" w:rsidRDefault="00623B65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60E67F9E" w14:textId="77777777" w:rsidR="00623B65" w:rsidRPr="00400FD6" w:rsidRDefault="00623B65" w:rsidP="00623B6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00FD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بحران در خانواده و روش های تطابق </w:t>
            </w:r>
          </w:p>
          <w:p w14:paraId="0BD89019" w14:textId="77777777" w:rsidR="00623B65" w:rsidRPr="00400FD6" w:rsidRDefault="00623B65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14:paraId="0E1CB500" w14:textId="24FBFA08" w:rsidR="00623B65" w:rsidRPr="00EB6DB3" w:rsidRDefault="00400FD6" w:rsidP="00623B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B751EF" w14:paraId="3E9221F6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EC1010D" w14:textId="03193F52" w:rsidR="00B751EF" w:rsidRPr="00754B96" w:rsidRDefault="00B751EF" w:rsidP="00B751EF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دکتر پورتقی</w:t>
            </w:r>
          </w:p>
        </w:tc>
        <w:tc>
          <w:tcPr>
            <w:tcW w:w="2381" w:type="dxa"/>
          </w:tcPr>
          <w:p w14:paraId="4D524F06" w14:textId="0879D9FD" w:rsidR="00B751EF" w:rsidRPr="00754B96" w:rsidRDefault="00B751EF" w:rsidP="00B751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69AE8A65" w14:textId="45AC7648" w:rsidR="00B751EF" w:rsidRPr="008A4C41" w:rsidRDefault="00B751EF" w:rsidP="00B751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68003023" w14:textId="702B9DEA" w:rsidR="00B751EF" w:rsidRPr="00400FD6" w:rsidRDefault="00B751EF" w:rsidP="00B751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B751EF">
              <w:rPr>
                <w:rFonts w:cs="B Mitra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عوامل تهدید کننده سلامت اعضای خانواده مانند مرگ، طلاق، فقر، مهاجرت، بیماری های مزمن، بلایا و حوادث غیرمترقبه</w:t>
            </w:r>
          </w:p>
        </w:tc>
        <w:tc>
          <w:tcPr>
            <w:tcW w:w="847" w:type="dxa"/>
          </w:tcPr>
          <w:p w14:paraId="6A439AAF" w14:textId="78D8F88C" w:rsidR="00B751EF" w:rsidRPr="00EB6DB3" w:rsidRDefault="00B751EF" w:rsidP="00B751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623B65" w14:paraId="3C3F9821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0B8F435" w14:textId="2B1714E9" w:rsidR="00623B65" w:rsidRPr="00754B96" w:rsidRDefault="00623B65" w:rsidP="00623B65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پاشایی پور</w:t>
            </w:r>
          </w:p>
        </w:tc>
        <w:tc>
          <w:tcPr>
            <w:tcW w:w="2381" w:type="dxa"/>
          </w:tcPr>
          <w:p w14:paraId="627D6AE5" w14:textId="0F3DAD58" w:rsidR="00623B65" w:rsidRPr="00754B96" w:rsidRDefault="006F3D87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007AC4A3" w14:textId="2F43F4A0" w:rsidR="00623B65" w:rsidRPr="008A4C41" w:rsidRDefault="00F94745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375" w:type="dxa"/>
          </w:tcPr>
          <w:p w14:paraId="00D654D8" w14:textId="4B201FC4" w:rsidR="00623B65" w:rsidRPr="00623B65" w:rsidRDefault="00623B65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سلامت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دوران بلوغ با رعایت ملاحظات شرعی، قانونی و اخلاقی</w:t>
            </w:r>
          </w:p>
        </w:tc>
        <w:tc>
          <w:tcPr>
            <w:tcW w:w="847" w:type="dxa"/>
          </w:tcPr>
          <w:p w14:paraId="39819BB7" w14:textId="33061EB7" w:rsidR="00623B65" w:rsidRPr="00EB6DB3" w:rsidRDefault="00400FD6" w:rsidP="00623B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623B65" w14:paraId="4D14DF3F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2A8E8A2" w14:textId="2F89F7B3" w:rsidR="00623B65" w:rsidRPr="00754B96" w:rsidRDefault="00623B65" w:rsidP="00623B65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پاشایی پور</w:t>
            </w:r>
          </w:p>
        </w:tc>
        <w:tc>
          <w:tcPr>
            <w:tcW w:w="2381" w:type="dxa"/>
          </w:tcPr>
          <w:p w14:paraId="24F12F26" w14:textId="607F61B5" w:rsidR="00623B65" w:rsidRPr="00754B96" w:rsidRDefault="006F3D87" w:rsidP="00623B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3AA834C" w14:textId="60532DFB" w:rsidR="00623B65" w:rsidRPr="008A4C41" w:rsidRDefault="00F94745" w:rsidP="00623B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375" w:type="dxa"/>
          </w:tcPr>
          <w:p w14:paraId="4F7BD7D2" w14:textId="2E68E1E2" w:rsidR="00623B65" w:rsidRPr="00623B65" w:rsidRDefault="00623B65" w:rsidP="00623B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سلامت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و بیماری در</w:t>
            </w: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زنان </w:t>
            </w:r>
          </w:p>
        </w:tc>
        <w:tc>
          <w:tcPr>
            <w:tcW w:w="847" w:type="dxa"/>
          </w:tcPr>
          <w:p w14:paraId="5D136BA1" w14:textId="50C0D2F9" w:rsidR="00623B65" w:rsidRPr="00EB6DB3" w:rsidRDefault="00400FD6" w:rsidP="00623B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623B65" w14:paraId="221E60C3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77BCDA6" w14:textId="5AF06BB0" w:rsidR="00623B65" w:rsidRPr="00754B96" w:rsidRDefault="00623B65" w:rsidP="00623B65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پاشایی پور</w:t>
            </w:r>
          </w:p>
        </w:tc>
        <w:tc>
          <w:tcPr>
            <w:tcW w:w="2381" w:type="dxa"/>
          </w:tcPr>
          <w:p w14:paraId="638D4A38" w14:textId="1DC65777" w:rsidR="00623B65" w:rsidRPr="00754B96" w:rsidRDefault="006F3D87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3E653C5B" w14:textId="30EB74FE" w:rsidR="00623B65" w:rsidRPr="008A4C41" w:rsidRDefault="00F94745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375" w:type="dxa"/>
          </w:tcPr>
          <w:p w14:paraId="4CC94C1E" w14:textId="3B300436" w:rsidR="00623B65" w:rsidRPr="00623B65" w:rsidRDefault="00400FD6" w:rsidP="00623B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سلامت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و بیماری در</w:t>
            </w: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زنان</w:t>
            </w:r>
          </w:p>
        </w:tc>
        <w:tc>
          <w:tcPr>
            <w:tcW w:w="847" w:type="dxa"/>
          </w:tcPr>
          <w:p w14:paraId="617A0BAA" w14:textId="6115E118" w:rsidR="00623B65" w:rsidRPr="00EB6DB3" w:rsidRDefault="00623B65" w:rsidP="00400F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  <w:r w:rsidR="00400FD6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623B65" w14:paraId="590D7925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85B61A1" w14:textId="54601AB9" w:rsidR="00623B65" w:rsidRPr="00754B96" w:rsidRDefault="00623B65" w:rsidP="00623B65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پاشایی پور</w:t>
            </w:r>
          </w:p>
        </w:tc>
        <w:tc>
          <w:tcPr>
            <w:tcW w:w="2381" w:type="dxa"/>
          </w:tcPr>
          <w:p w14:paraId="34BD11F0" w14:textId="2BC2185D" w:rsidR="00623B65" w:rsidRPr="00754B96" w:rsidRDefault="00F94745" w:rsidP="00623B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46603B8" w14:textId="329697A0" w:rsidR="00623B65" w:rsidRPr="008A4C41" w:rsidRDefault="00B751EF" w:rsidP="00623B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375" w:type="dxa"/>
          </w:tcPr>
          <w:p w14:paraId="68A99A62" w14:textId="5623F3CF" w:rsidR="00623B65" w:rsidRPr="00623B65" w:rsidRDefault="006F3D87" w:rsidP="00623B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F3D8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سلامت دوران باردار</w:t>
            </w:r>
            <w:r w:rsidRPr="006F3D8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6F3D87"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Pr="006F3D8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زا</w:t>
            </w:r>
            <w:r w:rsidRPr="006F3D8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6F3D87"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مان</w:t>
            </w:r>
            <w:r w:rsidRPr="006F3D8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و پس از آن</w:t>
            </w:r>
          </w:p>
        </w:tc>
        <w:tc>
          <w:tcPr>
            <w:tcW w:w="847" w:type="dxa"/>
          </w:tcPr>
          <w:p w14:paraId="4D949B0F" w14:textId="267F7701" w:rsidR="00623B65" w:rsidRPr="00EB6DB3" w:rsidRDefault="00623B65" w:rsidP="00400FD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  <w:r w:rsidR="00400FD6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400FD6" w14:paraId="64F510CD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00102" w14:textId="240EFAFF" w:rsidR="00400FD6" w:rsidRDefault="00400FD6" w:rsidP="00400FD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پاشایی پور</w:t>
            </w:r>
          </w:p>
        </w:tc>
        <w:tc>
          <w:tcPr>
            <w:tcW w:w="2381" w:type="dxa"/>
          </w:tcPr>
          <w:p w14:paraId="2023A49C" w14:textId="507CE32C" w:rsidR="00400FD6" w:rsidRPr="00754B96" w:rsidRDefault="006F3D87" w:rsidP="00400F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26ECA51" w14:textId="706E4E8E" w:rsidR="00400FD6" w:rsidRPr="008A4C41" w:rsidRDefault="00F94745" w:rsidP="00400F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375" w:type="dxa"/>
          </w:tcPr>
          <w:p w14:paraId="3F545081" w14:textId="3BC76977" w:rsidR="00400FD6" w:rsidRPr="00623B65" w:rsidRDefault="00400FD6" w:rsidP="00400F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سلامت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و بیماری در </w:t>
            </w: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مردان </w:t>
            </w:r>
          </w:p>
        </w:tc>
        <w:tc>
          <w:tcPr>
            <w:tcW w:w="847" w:type="dxa"/>
          </w:tcPr>
          <w:p w14:paraId="20A13EDB" w14:textId="28927FFC" w:rsidR="00400FD6" w:rsidRDefault="00400FD6" w:rsidP="00400F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400FD6" w14:paraId="646D4371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9A8DF39" w14:textId="6DBFBEE2" w:rsidR="00400FD6" w:rsidRDefault="00400FD6" w:rsidP="00400FD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پاشایی پور</w:t>
            </w:r>
          </w:p>
        </w:tc>
        <w:tc>
          <w:tcPr>
            <w:tcW w:w="2381" w:type="dxa"/>
          </w:tcPr>
          <w:p w14:paraId="6E886B84" w14:textId="4E260A91" w:rsidR="00400FD6" w:rsidRPr="00754B96" w:rsidRDefault="006F3D87" w:rsidP="00400F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029190AE" w14:textId="2457F66F" w:rsidR="00400FD6" w:rsidRPr="008A4C41" w:rsidRDefault="00F94745" w:rsidP="00400F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8A4C4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375" w:type="dxa"/>
          </w:tcPr>
          <w:p w14:paraId="25682214" w14:textId="6C25BD5D" w:rsidR="00400FD6" w:rsidRPr="00623B65" w:rsidRDefault="00400FD6" w:rsidP="00400F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سلامت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و بیماری در </w:t>
            </w:r>
            <w:r w:rsidRPr="00623B6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سالمندان </w:t>
            </w:r>
          </w:p>
        </w:tc>
        <w:tc>
          <w:tcPr>
            <w:tcW w:w="847" w:type="dxa"/>
          </w:tcPr>
          <w:p w14:paraId="26F01BF5" w14:textId="4EC14428" w:rsidR="00400FD6" w:rsidRDefault="00400FD6" w:rsidP="00400FD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08ECBC76" w:rsidR="00763530" w:rsidRDefault="00924FDC" w:rsidP="00754B96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BE4941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BCBD38F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با آمادگی قبلی طبق طرح درس در کلاس حضور داشته باشند.</w:t>
      </w:r>
    </w:p>
    <w:p w14:paraId="657FE6B2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در مباحث کلاس شرکت فعال به صورت بحث گروهی و گفتگو در ارتباط با مباحث کلاس داشته باشند.</w:t>
      </w:r>
    </w:p>
    <w:p w14:paraId="76C21B05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با ارائه تازه های بهداشتی و آخرین شواهد موجود به غنی شدن مطالب کلاس کمک کنند.  </w:t>
      </w:r>
    </w:p>
    <w:p w14:paraId="0F937F49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تکالیف خود را به موقع ارائه دهند. 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709"/>
        <w:gridCol w:w="8146"/>
      </w:tblGrid>
      <w:tr w:rsidR="006E0C50" w:rsidRPr="004A5A5F" w14:paraId="79A475D1" w14:textId="77777777" w:rsidTr="00217D04">
        <w:tc>
          <w:tcPr>
            <w:tcW w:w="1709" w:type="dxa"/>
          </w:tcPr>
          <w:p w14:paraId="6AE086C7" w14:textId="77777777" w:rsidR="006E0C50" w:rsidRPr="00645FF6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645FF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  <w:tc>
          <w:tcPr>
            <w:tcW w:w="8146" w:type="dxa"/>
          </w:tcPr>
          <w:p w14:paraId="429F7050" w14:textId="6CD59BDD" w:rsidR="006E0C50" w:rsidRPr="00645FF6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45FF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روش</w:t>
            </w:r>
            <w:r w:rsidR="006954C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954C6"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6E0C50" w:rsidRPr="004A5A5F" w14:paraId="543BA79F" w14:textId="77777777" w:rsidTr="00217D04">
        <w:tc>
          <w:tcPr>
            <w:tcW w:w="1709" w:type="dxa"/>
          </w:tcPr>
          <w:p w14:paraId="3548BB14" w14:textId="77777777" w:rsidR="006E0C50" w:rsidRPr="00645FF6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 درصد</w:t>
            </w:r>
          </w:p>
        </w:tc>
        <w:tc>
          <w:tcPr>
            <w:tcW w:w="8146" w:type="dxa"/>
          </w:tcPr>
          <w:p w14:paraId="423DB453" w14:textId="1B07C03C" w:rsidR="006E0C50" w:rsidRPr="00645FF6" w:rsidRDefault="006E0C50" w:rsidP="00217D04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حضور فعال و مشارکت در مباحث </w:t>
            </w:r>
            <w:r w:rsidRPr="006954C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کلاسی </w:t>
            </w:r>
            <w:r w:rsidR="006954C6" w:rsidRPr="006954C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و رعایت پوشش حرفه ای</w:t>
            </w:r>
          </w:p>
        </w:tc>
      </w:tr>
      <w:tr w:rsidR="006E0C50" w:rsidRPr="004A5A5F" w14:paraId="53497053" w14:textId="77777777" w:rsidTr="00217D04">
        <w:tc>
          <w:tcPr>
            <w:tcW w:w="1709" w:type="dxa"/>
          </w:tcPr>
          <w:p w14:paraId="0F9A65F1" w14:textId="77777777" w:rsidR="006E0C50" w:rsidRPr="00645FF6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 درصد</w:t>
            </w:r>
          </w:p>
        </w:tc>
        <w:tc>
          <w:tcPr>
            <w:tcW w:w="8146" w:type="dxa"/>
          </w:tcPr>
          <w:p w14:paraId="31458699" w14:textId="77777777" w:rsidR="006E0C50" w:rsidRPr="00645FF6" w:rsidRDefault="006E0C50" w:rsidP="00217D04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ارائه کنفرانس کلاسی</w:t>
            </w:r>
          </w:p>
        </w:tc>
      </w:tr>
      <w:tr w:rsidR="006E0C50" w:rsidRPr="004A5A5F" w14:paraId="521798EC" w14:textId="77777777" w:rsidTr="00217D04">
        <w:tc>
          <w:tcPr>
            <w:tcW w:w="1709" w:type="dxa"/>
          </w:tcPr>
          <w:p w14:paraId="43670AB3" w14:textId="77777777" w:rsidR="006E0C50" w:rsidRPr="00645FF6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5 درصد</w:t>
            </w:r>
          </w:p>
        </w:tc>
        <w:tc>
          <w:tcPr>
            <w:tcW w:w="8146" w:type="dxa"/>
          </w:tcPr>
          <w:p w14:paraId="63125A1B" w14:textId="77777777" w:rsidR="006E0C50" w:rsidRPr="00645FF6" w:rsidRDefault="006E0C50" w:rsidP="00217D04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شناسایی و بررسی ابزارهای مرتبط با سلامت خانواده</w:t>
            </w:r>
          </w:p>
        </w:tc>
      </w:tr>
      <w:tr w:rsidR="006E0C50" w:rsidRPr="004A5A5F" w14:paraId="5D003570" w14:textId="77777777" w:rsidTr="00217D04">
        <w:tc>
          <w:tcPr>
            <w:tcW w:w="1709" w:type="dxa"/>
          </w:tcPr>
          <w:p w14:paraId="6E526AC7" w14:textId="77777777" w:rsidR="006E0C50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 درصد</w:t>
            </w:r>
          </w:p>
        </w:tc>
        <w:tc>
          <w:tcPr>
            <w:tcW w:w="8146" w:type="dxa"/>
          </w:tcPr>
          <w:p w14:paraId="6AD73459" w14:textId="77777777" w:rsidR="006E0C50" w:rsidRDefault="006E0C50" w:rsidP="00217D04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ارائه آخرین شواهد موجود در ارتباط با مراقبت از خانواده</w:t>
            </w:r>
          </w:p>
        </w:tc>
      </w:tr>
      <w:tr w:rsidR="006E0C50" w:rsidRPr="004A5A5F" w14:paraId="0DD58488" w14:textId="77777777" w:rsidTr="00217D04">
        <w:tc>
          <w:tcPr>
            <w:tcW w:w="1709" w:type="dxa"/>
          </w:tcPr>
          <w:p w14:paraId="6C0EF44F" w14:textId="77777777" w:rsidR="006E0C50" w:rsidRPr="00645FF6" w:rsidRDefault="006E0C50" w:rsidP="00217D0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60 درصد</w:t>
            </w:r>
          </w:p>
        </w:tc>
        <w:tc>
          <w:tcPr>
            <w:tcW w:w="8146" w:type="dxa"/>
          </w:tcPr>
          <w:p w14:paraId="14BF66C0" w14:textId="77777777" w:rsidR="006E0C50" w:rsidRPr="00645FF6" w:rsidRDefault="006E0C50" w:rsidP="00217D04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امتحان کتبی پایان ترم</w:t>
            </w:r>
          </w:p>
        </w:tc>
      </w:tr>
      <w:tr w:rsidR="006E0C50" w:rsidRPr="00881774" w14:paraId="2310E86F" w14:textId="77777777" w:rsidTr="00217D04">
        <w:tblPrEx>
          <w:jc w:val="center"/>
        </w:tblPrEx>
        <w:trPr>
          <w:jc w:val="center"/>
        </w:trPr>
        <w:tc>
          <w:tcPr>
            <w:tcW w:w="1709" w:type="dxa"/>
          </w:tcPr>
          <w:p w14:paraId="534A1266" w14:textId="70EA04B1" w:rsidR="006E0C50" w:rsidRPr="00881774" w:rsidRDefault="006954C6" w:rsidP="006954C6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  <w:r w:rsidR="006E0C50"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</w:p>
        </w:tc>
        <w:tc>
          <w:tcPr>
            <w:tcW w:w="8146" w:type="dxa"/>
          </w:tcPr>
          <w:p w14:paraId="5BB0A759" w14:textId="43B8D9FC" w:rsidR="006E0C50" w:rsidRPr="00881774" w:rsidRDefault="006954C6" w:rsidP="00217D04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14:paraId="27E89C5D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6A501DFE" w14:textId="77777777" w:rsidR="006E0C50" w:rsidRDefault="006E0C50" w:rsidP="006E0C5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>Friedman M M, Bowden VR, Jones E. Family Nursing: Research, Theory and Practice….last edition.</w:t>
      </w:r>
    </w:p>
    <w:p w14:paraId="1E9B94AF" w14:textId="77777777" w:rsidR="006E0C50" w:rsidRPr="00C36664" w:rsidRDefault="006E0C50" w:rsidP="006E0C5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>Maurer FA, Smith CM. Community Health Nursing: Health for Families and Population, last edition.</w:t>
      </w:r>
    </w:p>
    <w:p w14:paraId="51A3B745" w14:textId="77777777" w:rsidR="006E0C50" w:rsidRDefault="006E0C50" w:rsidP="006E0C5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>Allender JA, Rector C, Warner K D. Community &amp; Public Health Nursing: Promoting the Public's Health. Lippincott Williams&amp; Wilkins, 2014.</w:t>
      </w:r>
    </w:p>
    <w:p w14:paraId="10BAA6AA" w14:textId="77777777" w:rsidR="006E0C50" w:rsidRDefault="006E0C50" w:rsidP="006E0C5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>Nies M A, McEven M. Community/Public Health Nursing. Elsevier, 2011.</w:t>
      </w:r>
    </w:p>
    <w:p w14:paraId="63987E01" w14:textId="77777777" w:rsidR="006E0C50" w:rsidRPr="00502CF6" w:rsidRDefault="006E0C50" w:rsidP="006E0C5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  <w:r w:rsidRPr="00502CF6">
        <w:rPr>
          <w:rFonts w:asciiTheme="majorBidi" w:hAnsiTheme="majorBidi" w:cstheme="majorBidi"/>
          <w:sz w:val="26"/>
          <w:szCs w:val="26"/>
          <w:lang w:bidi="fa-IR"/>
        </w:rPr>
        <w:t xml:space="preserve">Lancaster J, Stanhope . Public Health Nursing: Population –Centered Health Care in the Community, 2008. </w:t>
      </w:r>
    </w:p>
    <w:p w14:paraId="6C26D9AE" w14:textId="77777777" w:rsidR="006E0C50" w:rsidRDefault="006E0C50" w:rsidP="006E0C50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2979E8F1" w14:textId="77777777" w:rsidR="006E0C50" w:rsidRDefault="006E0C50" w:rsidP="006E0C50">
      <w:pPr>
        <w:bidi/>
        <w:spacing w:after="0"/>
        <w:jc w:val="center"/>
        <w:rPr>
          <w:rFonts w:cs="Titr"/>
          <w:sz w:val="20"/>
          <w:szCs w:val="20"/>
          <w:rtl/>
          <w:lang w:bidi="fa-IR"/>
        </w:rPr>
      </w:pPr>
    </w:p>
    <w:p w14:paraId="44EA1B6D" w14:textId="77777777" w:rsidR="006E0C50" w:rsidRPr="00502CF6" w:rsidRDefault="006E0C50" w:rsidP="006E0C50">
      <w:pPr>
        <w:pStyle w:val="ListParagraph"/>
        <w:numPr>
          <w:ilvl w:val="0"/>
          <w:numId w:val="14"/>
        </w:numPr>
        <w:bidi/>
        <w:spacing w:after="0"/>
        <w:jc w:val="both"/>
        <w:rPr>
          <w:rFonts w:cs="B Titr"/>
          <w:sz w:val="20"/>
          <w:szCs w:val="20"/>
          <w:lang w:bidi="fa-IR"/>
        </w:rPr>
      </w:pPr>
      <w:r w:rsidRPr="00502CF6">
        <w:rPr>
          <w:rFonts w:cs="B Titr" w:hint="cs"/>
          <w:sz w:val="20"/>
          <w:szCs w:val="20"/>
          <w:rtl/>
          <w:lang w:bidi="fa-IR"/>
        </w:rPr>
        <w:t>کتب فارسی</w:t>
      </w:r>
    </w:p>
    <w:p w14:paraId="642AEF13" w14:textId="77777777" w:rsidR="006E0C50" w:rsidRPr="00502CF6" w:rsidRDefault="006E0C50" w:rsidP="006E0C50">
      <w:pPr>
        <w:pStyle w:val="ListParagraph"/>
        <w:numPr>
          <w:ilvl w:val="0"/>
          <w:numId w:val="14"/>
        </w:num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  <w:r w:rsidRPr="00502CF6">
        <w:rPr>
          <w:rFonts w:cs="B Titr" w:hint="cs"/>
          <w:sz w:val="20"/>
          <w:szCs w:val="20"/>
          <w:rtl/>
          <w:lang w:bidi="fa-IR"/>
        </w:rPr>
        <w:t>مجلات پژوهشی و سایت های تخصصی و معتبر در زمینه خانواده</w:t>
      </w: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B378D" w14:textId="77777777" w:rsidR="00DD1E54" w:rsidRDefault="00DD1E54" w:rsidP="00EB6DB3">
      <w:pPr>
        <w:spacing w:after="0" w:line="240" w:lineRule="auto"/>
      </w:pPr>
      <w:r>
        <w:separator/>
      </w:r>
    </w:p>
  </w:endnote>
  <w:endnote w:type="continuationSeparator" w:id="0">
    <w:p w14:paraId="4A171000" w14:textId="77777777" w:rsidR="00DD1E54" w:rsidRDefault="00DD1E5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1D391B1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6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A135" w14:textId="77777777" w:rsidR="00DD1E54" w:rsidRDefault="00DD1E54" w:rsidP="00EB6DB3">
      <w:pPr>
        <w:spacing w:after="0" w:line="240" w:lineRule="auto"/>
      </w:pPr>
      <w:r>
        <w:separator/>
      </w:r>
    </w:p>
  </w:footnote>
  <w:footnote w:type="continuationSeparator" w:id="0">
    <w:p w14:paraId="06F09BC3" w14:textId="77777777" w:rsidR="00DD1E54" w:rsidRDefault="00DD1E5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6FE"/>
    <w:multiLevelType w:val="hybridMultilevel"/>
    <w:tmpl w:val="3DDC9C22"/>
    <w:lvl w:ilvl="0" w:tplc="78E0A5E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1429"/>
    <w:multiLevelType w:val="hybridMultilevel"/>
    <w:tmpl w:val="417E0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64FF5"/>
    <w:multiLevelType w:val="hybridMultilevel"/>
    <w:tmpl w:val="436C0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04845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34C3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7142"/>
    <w:rsid w:val="001F31CB"/>
    <w:rsid w:val="002034ED"/>
    <w:rsid w:val="0020548F"/>
    <w:rsid w:val="00205608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A3095"/>
    <w:rsid w:val="002B27AF"/>
    <w:rsid w:val="002D5FD3"/>
    <w:rsid w:val="002E06E6"/>
    <w:rsid w:val="002E7FC0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0FD6"/>
    <w:rsid w:val="00401B3A"/>
    <w:rsid w:val="00423199"/>
    <w:rsid w:val="00426476"/>
    <w:rsid w:val="00445D64"/>
    <w:rsid w:val="00445D98"/>
    <w:rsid w:val="00457853"/>
    <w:rsid w:val="00460AC6"/>
    <w:rsid w:val="00462661"/>
    <w:rsid w:val="0047039D"/>
    <w:rsid w:val="00477B93"/>
    <w:rsid w:val="0049423D"/>
    <w:rsid w:val="0049722D"/>
    <w:rsid w:val="004B3386"/>
    <w:rsid w:val="004B3C0D"/>
    <w:rsid w:val="004B42AA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B2689"/>
    <w:rsid w:val="005E03FB"/>
    <w:rsid w:val="005E1787"/>
    <w:rsid w:val="005E730A"/>
    <w:rsid w:val="005F151B"/>
    <w:rsid w:val="005F23E2"/>
    <w:rsid w:val="0062048A"/>
    <w:rsid w:val="00623B65"/>
    <w:rsid w:val="00632F6B"/>
    <w:rsid w:val="0065017B"/>
    <w:rsid w:val="006562BE"/>
    <w:rsid w:val="0067621F"/>
    <w:rsid w:val="00684E56"/>
    <w:rsid w:val="006954C6"/>
    <w:rsid w:val="006C3301"/>
    <w:rsid w:val="006D4F70"/>
    <w:rsid w:val="006D6BC1"/>
    <w:rsid w:val="006E0C50"/>
    <w:rsid w:val="006E5B52"/>
    <w:rsid w:val="006F3D87"/>
    <w:rsid w:val="00712158"/>
    <w:rsid w:val="00716BE3"/>
    <w:rsid w:val="007302F8"/>
    <w:rsid w:val="0073222F"/>
    <w:rsid w:val="00742173"/>
    <w:rsid w:val="00754B9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67985"/>
    <w:rsid w:val="00885BF8"/>
    <w:rsid w:val="00896A0B"/>
    <w:rsid w:val="008A1031"/>
    <w:rsid w:val="008C1F03"/>
    <w:rsid w:val="008E495F"/>
    <w:rsid w:val="008F0A2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E629C"/>
    <w:rsid w:val="009F04EB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E721B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51EF"/>
    <w:rsid w:val="00B77FBC"/>
    <w:rsid w:val="00B80410"/>
    <w:rsid w:val="00B9475A"/>
    <w:rsid w:val="00B977E0"/>
    <w:rsid w:val="00BA5726"/>
    <w:rsid w:val="00BE22E1"/>
    <w:rsid w:val="00BE4941"/>
    <w:rsid w:val="00BF350D"/>
    <w:rsid w:val="00C06AFF"/>
    <w:rsid w:val="00C12AB4"/>
    <w:rsid w:val="00C142AE"/>
    <w:rsid w:val="00C15621"/>
    <w:rsid w:val="00C16576"/>
    <w:rsid w:val="00C5164A"/>
    <w:rsid w:val="00C63B0C"/>
    <w:rsid w:val="00C71788"/>
    <w:rsid w:val="00C82781"/>
    <w:rsid w:val="00C85ABA"/>
    <w:rsid w:val="00C91E86"/>
    <w:rsid w:val="00C951C5"/>
    <w:rsid w:val="00CA5986"/>
    <w:rsid w:val="00CB11FC"/>
    <w:rsid w:val="00CC7981"/>
    <w:rsid w:val="00D12CD5"/>
    <w:rsid w:val="00D237ED"/>
    <w:rsid w:val="00D258F5"/>
    <w:rsid w:val="00D272D4"/>
    <w:rsid w:val="00D47EB7"/>
    <w:rsid w:val="00D92DAC"/>
    <w:rsid w:val="00DA5F23"/>
    <w:rsid w:val="00DA75EE"/>
    <w:rsid w:val="00DB28EF"/>
    <w:rsid w:val="00DB4835"/>
    <w:rsid w:val="00DC7F56"/>
    <w:rsid w:val="00DD1E54"/>
    <w:rsid w:val="00DD7900"/>
    <w:rsid w:val="00DF5AFE"/>
    <w:rsid w:val="00E270DE"/>
    <w:rsid w:val="00E358C8"/>
    <w:rsid w:val="00E61F9C"/>
    <w:rsid w:val="00E66E78"/>
    <w:rsid w:val="00E71431"/>
    <w:rsid w:val="00E95490"/>
    <w:rsid w:val="00EB6DB3"/>
    <w:rsid w:val="00EC047C"/>
    <w:rsid w:val="00EC2D0A"/>
    <w:rsid w:val="00ED6D54"/>
    <w:rsid w:val="00EF53E0"/>
    <w:rsid w:val="00F05B8C"/>
    <w:rsid w:val="00F11338"/>
    <w:rsid w:val="00F12E0F"/>
    <w:rsid w:val="00F25ED3"/>
    <w:rsid w:val="00F378AD"/>
    <w:rsid w:val="00F51BF7"/>
    <w:rsid w:val="00F62CAD"/>
    <w:rsid w:val="00F6459B"/>
    <w:rsid w:val="00F7033C"/>
    <w:rsid w:val="00F93A8F"/>
    <w:rsid w:val="00F94745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6022-778C-4FE2-861A-EA5100C9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nasrin nikpeyma</cp:lastModifiedBy>
  <cp:revision>2</cp:revision>
  <cp:lastPrinted>2020-08-02T12:25:00Z</cp:lastPrinted>
  <dcterms:created xsi:type="dcterms:W3CDTF">2024-09-24T07:53:00Z</dcterms:created>
  <dcterms:modified xsi:type="dcterms:W3CDTF">2024-09-24T07:53:00Z</dcterms:modified>
</cp:coreProperties>
</file>